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hd w:val="clear"/>
        <w:kinsoku/>
        <w:wordWrap/>
        <w:autoSpaceDE/>
        <w:autoSpaceDN/>
        <w:bidi w:val="0"/>
        <w:adjustRightInd/>
        <w:snapToGrid/>
        <w:spacing w:after="0" w:line="600" w:lineRule="exact"/>
        <w:ind w:left="0" w:leftChars="0" w:firstLine="0" w:firstLineChars="0"/>
        <w:textAlignment w:val="auto"/>
        <w:rPr>
          <w:rFonts w:hint="eastAsia" w:ascii="黑体" w:hAnsi="黑体" w:eastAsia="黑体" w:cs="黑体"/>
          <w:b w:val="0"/>
          <w:i w:val="0"/>
          <w:caps w:val="0"/>
          <w:color w:val="auto"/>
          <w:spacing w:val="0"/>
          <w:kern w:val="0"/>
          <w:sz w:val="32"/>
          <w:szCs w:val="21"/>
          <w:shd w:val="clear" w:color="auto" w:fill="FFFFFF"/>
          <w:lang w:val="en-US" w:eastAsia="zh-CN" w:bidi="ar"/>
        </w:rPr>
      </w:pPr>
      <w:r>
        <w:rPr>
          <w:rFonts w:hint="eastAsia" w:ascii="黑体" w:hAnsi="黑体" w:eastAsia="黑体" w:cs="黑体"/>
          <w:b w:val="0"/>
          <w:i w:val="0"/>
          <w:caps w:val="0"/>
          <w:color w:val="auto"/>
          <w:spacing w:val="0"/>
          <w:kern w:val="0"/>
          <w:sz w:val="32"/>
          <w:szCs w:val="21"/>
          <w:shd w:val="clear" w:color="auto" w:fill="FFFFFF"/>
          <w:lang w:val="en-US" w:eastAsia="zh-CN" w:bidi="ar"/>
        </w:rPr>
        <w:t>附件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right="0"/>
        <w:jc w:val="left"/>
        <w:textAlignment w:val="auto"/>
        <w:rPr>
          <w:rStyle w:val="5"/>
          <w:rFonts w:hint="default" w:ascii="Times New Roman" w:hAnsi="Times New Roman" w:eastAsia="方正小标宋_GBK" w:cs="Times New Roman"/>
          <w:b w:val="0"/>
          <w:bCs/>
          <w:i w:val="0"/>
          <w:caps w:val="0"/>
          <w:color w:val="auto"/>
          <w:spacing w:val="0"/>
          <w:w w:val="98"/>
          <w:kern w:val="0"/>
          <w:sz w:val="44"/>
          <w:szCs w:val="44"/>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right="0"/>
        <w:jc w:val="center"/>
        <w:textAlignment w:val="auto"/>
        <w:rPr>
          <w:rStyle w:val="5"/>
          <w:rFonts w:hint="default" w:ascii="Times New Roman" w:hAnsi="Times New Roman" w:eastAsia="方正小标宋_GBK" w:cs="Times New Roman"/>
          <w:b w:val="0"/>
          <w:bCs/>
          <w:i w:val="0"/>
          <w:caps w:val="0"/>
          <w:color w:val="auto"/>
          <w:spacing w:val="0"/>
          <w:w w:val="98"/>
          <w:kern w:val="0"/>
          <w:sz w:val="44"/>
          <w:szCs w:val="44"/>
          <w:shd w:val="clear" w:color="auto" w:fill="FFFFFF"/>
          <w:lang w:val="en-US" w:eastAsia="zh-CN" w:bidi="ar"/>
        </w:rPr>
      </w:pPr>
      <w:r>
        <w:rPr>
          <w:rStyle w:val="5"/>
          <w:rFonts w:hint="eastAsia" w:eastAsia="方正小标宋_GBK" w:cs="Times New Roman"/>
          <w:b w:val="0"/>
          <w:bCs/>
          <w:i w:val="0"/>
          <w:caps w:val="0"/>
          <w:color w:val="auto"/>
          <w:spacing w:val="0"/>
          <w:w w:val="98"/>
          <w:kern w:val="0"/>
          <w:sz w:val="44"/>
          <w:szCs w:val="44"/>
          <w:shd w:val="clear" w:color="auto" w:fill="FFFFFF"/>
          <w:lang w:val="en-US" w:eastAsia="zh-CN" w:bidi="ar"/>
        </w:rPr>
        <w:t>全市性</w:t>
      </w:r>
      <w:r>
        <w:rPr>
          <w:rStyle w:val="5"/>
          <w:rFonts w:hint="default" w:ascii="Times New Roman" w:hAnsi="Times New Roman" w:eastAsia="方正小标宋_GBK" w:cs="Times New Roman"/>
          <w:b w:val="0"/>
          <w:bCs/>
          <w:i w:val="0"/>
          <w:caps w:val="0"/>
          <w:color w:val="auto"/>
          <w:spacing w:val="0"/>
          <w:w w:val="98"/>
          <w:kern w:val="0"/>
          <w:sz w:val="44"/>
          <w:szCs w:val="44"/>
          <w:shd w:val="clear" w:color="auto" w:fill="FFFFFF"/>
          <w:lang w:val="en-US" w:eastAsia="zh-CN" w:bidi="ar"/>
        </w:rPr>
        <w:t>民办非企业单位202</w:t>
      </w:r>
      <w:r>
        <w:rPr>
          <w:rStyle w:val="5"/>
          <w:rFonts w:hint="eastAsia" w:ascii="Times New Roman" w:hAnsi="Times New Roman" w:eastAsia="方正小标宋_GBK" w:cs="Times New Roman"/>
          <w:b w:val="0"/>
          <w:bCs/>
          <w:i w:val="0"/>
          <w:caps w:val="0"/>
          <w:color w:val="auto"/>
          <w:spacing w:val="0"/>
          <w:w w:val="98"/>
          <w:kern w:val="0"/>
          <w:sz w:val="44"/>
          <w:szCs w:val="44"/>
          <w:shd w:val="clear" w:color="auto" w:fill="FFFFFF"/>
          <w:lang w:val="en-US" w:eastAsia="zh-CN" w:bidi="ar"/>
        </w:rPr>
        <w:t>4</w:t>
      </w:r>
      <w:r>
        <w:rPr>
          <w:rStyle w:val="5"/>
          <w:rFonts w:hint="default" w:ascii="Times New Roman" w:hAnsi="Times New Roman" w:eastAsia="方正小标宋_GBK" w:cs="Times New Roman"/>
          <w:b w:val="0"/>
          <w:bCs/>
          <w:i w:val="0"/>
          <w:caps w:val="0"/>
          <w:color w:val="auto"/>
          <w:spacing w:val="0"/>
          <w:w w:val="98"/>
          <w:kern w:val="0"/>
          <w:sz w:val="44"/>
          <w:szCs w:val="44"/>
          <w:shd w:val="clear" w:color="auto" w:fill="FFFFFF"/>
          <w:lang w:val="en-US" w:eastAsia="zh-CN" w:bidi="ar"/>
        </w:rPr>
        <w:t>年度检查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right="0"/>
        <w:jc w:val="center"/>
        <w:textAlignment w:val="auto"/>
        <w:rPr>
          <w:rFonts w:ascii="Times New Roman" w:hAnsi="Times New Roman" w:eastAsia="微软雅黑" w:cs="Times New Roman"/>
          <w:i w:val="0"/>
          <w:caps w:val="0"/>
          <w:color w:val="auto"/>
          <w:spacing w:val="0"/>
          <w:sz w:val="32"/>
          <w:szCs w:val="19"/>
        </w:rPr>
      </w:pPr>
      <w:r>
        <w:rPr>
          <w:rStyle w:val="5"/>
          <w:rFonts w:hint="default" w:ascii="Times New Roman" w:hAnsi="Times New Roman" w:eastAsia="方正小标宋_GBK" w:cs="Times New Roman"/>
          <w:b w:val="0"/>
          <w:bCs/>
          <w:i w:val="0"/>
          <w:caps w:val="0"/>
          <w:color w:val="auto"/>
          <w:spacing w:val="0"/>
          <w:w w:val="98"/>
          <w:kern w:val="0"/>
          <w:sz w:val="44"/>
          <w:szCs w:val="44"/>
          <w:shd w:val="clear" w:color="auto" w:fill="FFFFFF"/>
          <w:lang w:val="en-US" w:eastAsia="zh-CN" w:bidi="ar"/>
        </w:rPr>
        <w:t>事项须知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微软雅黑" w:cs="Times New Roman"/>
          <w:i w:val="0"/>
          <w:caps w:val="0"/>
          <w:color w:val="auto"/>
          <w:spacing w:val="0"/>
          <w:sz w:val="32"/>
          <w:szCs w:val="19"/>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19"/>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根据《民办非企业单位登记管理暂行条例》《民办非企业单位年度检查办法》等有关规定，</w:t>
      </w:r>
      <w:r>
        <w:rPr>
          <w:rFonts w:hint="default" w:ascii="Times New Roman" w:hAnsi="Times New Roman" w:cs="Times New Roman"/>
          <w:i w:val="0"/>
          <w:caps w:val="0"/>
          <w:color w:val="auto"/>
          <w:spacing w:val="0"/>
          <w:kern w:val="0"/>
          <w:sz w:val="32"/>
          <w:szCs w:val="21"/>
          <w:shd w:val="clear" w:color="auto" w:fill="FFFFFF"/>
          <w:lang w:val="en-US" w:eastAsia="zh-CN" w:bidi="ar"/>
        </w:rPr>
        <w:t>市民政局</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将实施202</w:t>
      </w:r>
      <w:r>
        <w:rPr>
          <w:rFonts w:hint="default" w:ascii="Times New Roman" w:hAnsi="Times New Roman" w:cs="Times New Roman"/>
          <w:i w:val="0"/>
          <w:caps w:val="0"/>
          <w:color w:val="auto"/>
          <w:spacing w:val="0"/>
          <w:kern w:val="0"/>
          <w:sz w:val="32"/>
          <w:szCs w:val="21"/>
          <w:shd w:val="clear" w:color="auto" w:fill="FFFFFF"/>
          <w:lang w:val="en-US" w:eastAsia="zh-CN" w:bidi="ar"/>
        </w:rPr>
        <w:t>4</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年度</w:t>
      </w:r>
      <w:r>
        <w:rPr>
          <w:rFonts w:hint="default" w:ascii="Times New Roman" w:hAnsi="Times New Roman" w:cs="Times New Roman"/>
          <w:i w:val="0"/>
          <w:caps w:val="0"/>
          <w:color w:val="auto"/>
          <w:spacing w:val="0"/>
          <w:kern w:val="0"/>
          <w:sz w:val="32"/>
          <w:szCs w:val="21"/>
          <w:shd w:val="clear" w:color="auto" w:fill="FFFFFF"/>
          <w:lang w:val="en-US" w:eastAsia="zh-CN" w:bidi="ar"/>
        </w:rPr>
        <w:t>全市性</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民办非企业单位（以下简称“民非单位”）年度检查。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19"/>
        </w:rPr>
      </w:pPr>
      <w:r>
        <w:rPr>
          <w:rStyle w:val="5"/>
          <w:rFonts w:hint="default" w:ascii="Times New Roman" w:hAnsi="Times New Roman" w:eastAsia="方正黑体_GBK" w:cs="Times New Roman"/>
          <w:b w:val="0"/>
          <w:bCs/>
          <w:i w:val="0"/>
          <w:caps w:val="0"/>
          <w:color w:val="auto"/>
          <w:spacing w:val="0"/>
          <w:kern w:val="0"/>
          <w:sz w:val="32"/>
          <w:szCs w:val="21"/>
          <w:shd w:val="clear" w:color="auto" w:fill="FFFFFF"/>
          <w:lang w:val="en-US" w:eastAsia="zh-CN" w:bidi="ar"/>
        </w:rPr>
        <w:t>一、年检范围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凡在202</w:t>
      </w:r>
      <w:r>
        <w:rPr>
          <w:rFonts w:hint="default" w:ascii="Times New Roman" w:hAnsi="Times New Roman" w:cs="Times New Roman"/>
          <w:i w:val="0"/>
          <w:caps w:val="0"/>
          <w:color w:val="auto"/>
          <w:spacing w:val="0"/>
          <w:kern w:val="0"/>
          <w:sz w:val="32"/>
          <w:szCs w:val="21"/>
          <w:shd w:val="clear" w:color="auto" w:fill="FFFFFF"/>
          <w:lang w:val="en-US" w:eastAsia="zh-CN" w:bidi="ar"/>
        </w:rPr>
        <w:t>4</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年6月30日前经</w:t>
      </w:r>
      <w:r>
        <w:rPr>
          <w:rFonts w:hint="default" w:ascii="Times New Roman" w:hAnsi="Times New Roman" w:cs="Times New Roman"/>
          <w:i w:val="0"/>
          <w:caps w:val="0"/>
          <w:color w:val="auto"/>
          <w:spacing w:val="0"/>
          <w:kern w:val="0"/>
          <w:sz w:val="32"/>
          <w:szCs w:val="21"/>
          <w:shd w:val="clear" w:color="auto" w:fill="FFFFFF"/>
          <w:lang w:val="en-US" w:eastAsia="zh-CN" w:bidi="ar"/>
        </w:rPr>
        <w:t>市民政局</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批准成立登记的民非单位（慈善组织除外），均应参加年度检查。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Style w:val="5"/>
          <w:rFonts w:hint="default" w:ascii="Times New Roman" w:hAnsi="Times New Roman" w:eastAsia="方正黑体_GBK" w:cs="Times New Roman"/>
          <w:b w:val="0"/>
          <w:bCs/>
          <w:i w:val="0"/>
          <w:caps w:val="0"/>
          <w:color w:val="auto"/>
          <w:spacing w:val="0"/>
          <w:kern w:val="0"/>
          <w:sz w:val="32"/>
          <w:szCs w:val="21"/>
          <w:shd w:val="clear" w:color="auto" w:fill="FFFFFF"/>
          <w:lang w:val="en-US" w:eastAsia="zh-CN" w:bidi="ar"/>
        </w:rPr>
      </w:pPr>
      <w:r>
        <w:rPr>
          <w:rStyle w:val="5"/>
          <w:rFonts w:hint="default" w:ascii="Times New Roman" w:hAnsi="Times New Roman" w:eastAsia="方正黑体_GBK" w:cs="Times New Roman"/>
          <w:b w:val="0"/>
          <w:bCs/>
          <w:i w:val="0"/>
          <w:caps w:val="0"/>
          <w:color w:val="auto"/>
          <w:spacing w:val="0"/>
          <w:kern w:val="0"/>
          <w:sz w:val="32"/>
          <w:szCs w:val="21"/>
          <w:shd w:val="clear" w:color="auto" w:fill="FFFFFF"/>
          <w:lang w:val="en-US" w:eastAsia="zh-CN" w:bidi="ar"/>
        </w:rPr>
        <w:t>二、年检时间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Style w:val="5"/>
          <w:rFonts w:hint="default" w:ascii="Times New Roman" w:hAnsi="Times New Roman" w:eastAsia="方正仿宋_GBK" w:cs="Times New Roman"/>
          <w:b w:val="0"/>
          <w:bCs/>
          <w:i w:val="0"/>
          <w:caps w:val="0"/>
          <w:color w:val="auto"/>
          <w:spacing w:val="0"/>
          <w:kern w:val="0"/>
          <w:sz w:val="32"/>
          <w:szCs w:val="21"/>
          <w:shd w:val="clear" w:color="auto" w:fill="FFFFFF"/>
          <w:lang w:val="en-US" w:eastAsia="zh-CN" w:bidi="ar"/>
        </w:rPr>
      </w:pPr>
      <w:r>
        <w:rPr>
          <w:rStyle w:val="5"/>
          <w:rFonts w:hint="default" w:ascii="Times New Roman" w:hAnsi="Times New Roman" w:eastAsia="方正仿宋_GBK" w:cs="Times New Roman"/>
          <w:b w:val="0"/>
          <w:bCs/>
          <w:i w:val="0"/>
          <w:caps w:val="0"/>
          <w:color w:val="auto"/>
          <w:spacing w:val="0"/>
          <w:kern w:val="0"/>
          <w:sz w:val="32"/>
          <w:szCs w:val="21"/>
          <w:shd w:val="clear" w:color="auto" w:fill="FFFFFF"/>
          <w:lang w:val="en-US" w:eastAsia="zh-CN" w:bidi="ar"/>
        </w:rPr>
        <w:t>2025年3月31日至2025年5月31日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Style w:val="5"/>
          <w:rFonts w:hint="default" w:ascii="Times New Roman" w:hAnsi="Times New Roman" w:eastAsia="方正黑体_GBK" w:cs="Times New Roman"/>
          <w:b w:val="0"/>
          <w:bCs/>
          <w:i w:val="0"/>
          <w:caps w:val="0"/>
          <w:color w:val="auto"/>
          <w:spacing w:val="0"/>
          <w:kern w:val="0"/>
          <w:sz w:val="32"/>
          <w:szCs w:val="21"/>
          <w:shd w:val="clear" w:color="auto" w:fill="FFFFFF"/>
          <w:lang w:val="en-US" w:eastAsia="zh-CN" w:bidi="ar"/>
        </w:rPr>
      </w:pPr>
      <w:r>
        <w:rPr>
          <w:rStyle w:val="5"/>
          <w:rFonts w:hint="default" w:ascii="Times New Roman" w:hAnsi="Times New Roman" w:eastAsia="方正黑体_GBK" w:cs="Times New Roman"/>
          <w:b w:val="0"/>
          <w:bCs/>
          <w:i w:val="0"/>
          <w:caps w:val="0"/>
          <w:color w:val="auto"/>
          <w:spacing w:val="0"/>
          <w:kern w:val="0"/>
          <w:sz w:val="32"/>
          <w:szCs w:val="21"/>
          <w:shd w:val="clear" w:color="auto" w:fill="FFFFFF"/>
          <w:lang w:val="en-US" w:eastAsia="zh-CN" w:bidi="ar"/>
        </w:rPr>
        <w:t>三、年检流程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民非单位应按以下程序和要求完成年检材料的准备和报送工作。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（一）网上填报年检材料。民办非企业单位可登录安徽社会组织信息平台（http://www.ahnpo.cn/），在首页“一网通办”栏目点击“安徽省社会组织网上办事平台”→“社会组织用户”→</w:t>
      </w:r>
      <w:r>
        <w:rPr>
          <w:rFonts w:hint="default" w:ascii="Times New Roman" w:hAnsi="Times New Roman" w:cs="Times New Roman"/>
          <w:i w:val="0"/>
          <w:caps w:val="0"/>
          <w:color w:val="auto"/>
          <w:spacing w:val="0"/>
          <w:kern w:val="0"/>
          <w:sz w:val="32"/>
          <w:szCs w:val="21"/>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宿州市</w:t>
      </w:r>
      <w:r>
        <w:rPr>
          <w:rFonts w:hint="default" w:ascii="Times New Roman" w:hAnsi="Times New Roman" w:cs="Times New Roman"/>
          <w:i w:val="0"/>
          <w:caps w:val="0"/>
          <w:color w:val="auto"/>
          <w:spacing w:val="0"/>
          <w:kern w:val="0"/>
          <w:sz w:val="32"/>
          <w:szCs w:val="21"/>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，输入用户名和密码登录，选择菜单栏中“年检”业务的“网上填报”</w:t>
      </w:r>
      <w:r>
        <w:rPr>
          <w:rFonts w:hint="eastAsia" w:cs="Times New Roman"/>
          <w:i w:val="0"/>
          <w:caps w:val="0"/>
          <w:color w:val="auto"/>
          <w:spacing w:val="0"/>
          <w:kern w:val="0"/>
          <w:sz w:val="32"/>
          <w:szCs w:val="21"/>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按照要求填报年检信息。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（二）年检审核环节分为</w:t>
      </w:r>
      <w:r>
        <w:rPr>
          <w:rFonts w:hint="eastAsia" w:cs="Times New Roman"/>
          <w:i w:val="0"/>
          <w:caps w:val="0"/>
          <w:color w:val="auto"/>
          <w:spacing w:val="0"/>
          <w:kern w:val="0"/>
          <w:sz w:val="32"/>
          <w:szCs w:val="21"/>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预审→待提交业务主管单位初审意见→受理→审查→决定→办结</w:t>
      </w:r>
      <w:r>
        <w:rPr>
          <w:rFonts w:hint="eastAsia" w:cs="Times New Roman"/>
          <w:i w:val="0"/>
          <w:caps w:val="0"/>
          <w:color w:val="auto"/>
          <w:spacing w:val="0"/>
          <w:kern w:val="0"/>
          <w:sz w:val="32"/>
          <w:szCs w:val="21"/>
          <w:shd w:val="clear" w:color="auto" w:fill="FFFFFF"/>
          <w:lang w:val="en-US" w:eastAsia="zh-CN" w:bidi="ar"/>
        </w:rPr>
        <w:t>。</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年检材料的填报</w:t>
      </w:r>
      <w:r>
        <w:rPr>
          <w:rFonts w:hint="eastAsia" w:cs="Times New Roman"/>
          <w:i w:val="0"/>
          <w:caps w:val="0"/>
          <w:color w:val="auto"/>
          <w:spacing w:val="0"/>
          <w:kern w:val="0"/>
          <w:sz w:val="32"/>
          <w:szCs w:val="21"/>
          <w:shd w:val="clear" w:color="auto" w:fill="FFFFFF"/>
          <w:lang w:val="en-US" w:eastAsia="zh-CN" w:bidi="ar"/>
        </w:rPr>
        <w:t>在</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通过预审之后，从系统</w:t>
      </w:r>
      <w:r>
        <w:rPr>
          <w:rFonts w:hint="eastAsia" w:cs="Times New Roman"/>
          <w:i w:val="0"/>
          <w:caps w:val="0"/>
          <w:color w:val="auto"/>
          <w:spacing w:val="0"/>
          <w:kern w:val="0"/>
          <w:sz w:val="32"/>
          <w:szCs w:val="21"/>
          <w:shd w:val="clear" w:color="auto" w:fill="FFFFFF"/>
          <w:lang w:val="en-US" w:eastAsia="zh-CN" w:bidi="ar"/>
        </w:rPr>
        <w:t>中点击</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一键打印，下载电子档文件，</w:t>
      </w:r>
      <w:r>
        <w:rPr>
          <w:rFonts w:hint="eastAsia" w:cs="Times New Roman"/>
          <w:i w:val="0"/>
          <w:caps w:val="0"/>
          <w:color w:val="auto"/>
          <w:spacing w:val="0"/>
          <w:kern w:val="0"/>
          <w:sz w:val="32"/>
          <w:szCs w:val="21"/>
          <w:shd w:val="clear" w:color="auto" w:fill="FFFFFF"/>
          <w:lang w:val="en-US" w:eastAsia="zh-CN" w:bidi="ar"/>
        </w:rPr>
        <w:t>打印</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纸质版年检材料报业务主管单位初审</w:t>
      </w:r>
      <w:r>
        <w:rPr>
          <w:rFonts w:hint="eastAsia" w:cs="Times New Roman"/>
          <w:i w:val="0"/>
          <w:caps w:val="0"/>
          <w:color w:val="auto"/>
          <w:spacing w:val="0"/>
          <w:kern w:val="0"/>
          <w:sz w:val="32"/>
          <w:szCs w:val="21"/>
          <w:shd w:val="clear" w:color="auto" w:fill="FFFFFF"/>
          <w:lang w:val="en-US" w:eastAsia="zh-CN" w:bidi="ar"/>
        </w:rPr>
        <w:t>。纸质版年检材料</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【提交业务主管单位初审意见】栏须经业务主管单位经办人签署年检结论意见，加盖业务主管单位公章</w:t>
      </w:r>
      <w:r>
        <w:rPr>
          <w:rFonts w:hint="eastAsia" w:cs="Times New Roman"/>
          <w:i w:val="0"/>
          <w:caps w:val="0"/>
          <w:color w:val="auto"/>
          <w:spacing w:val="0"/>
          <w:kern w:val="0"/>
          <w:sz w:val="32"/>
          <w:szCs w:val="21"/>
          <w:shd w:val="clear" w:color="auto" w:fill="FFFFFF"/>
          <w:lang w:val="en-US" w:eastAsia="zh-CN" w:bidi="ar"/>
        </w:rPr>
        <w:t>。业务主管单位审核完成后，</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进入系统上传已盖章的初审意见表（JPG或PDF格式），再次上报，进入【受理】环节。待系统状态为【待办结】时，</w:t>
      </w:r>
      <w:r>
        <w:rPr>
          <w:rFonts w:hint="default" w:ascii="Times New Roman" w:hAnsi="Times New Roman" w:eastAsia="方正仿宋_GBK" w:cs="Times New Roman"/>
          <w:i w:val="0"/>
          <w:iCs w:val="0"/>
          <w:caps w:val="0"/>
          <w:color w:val="auto"/>
          <w:spacing w:val="0"/>
          <w:kern w:val="0"/>
          <w:sz w:val="32"/>
          <w:szCs w:val="32"/>
          <w:highlight w:val="none"/>
          <w:shd w:val="clear" w:color="auto" w:fill="FFFFFF"/>
          <w:lang w:val="en-US" w:eastAsia="zh-CN" w:bidi="ar"/>
        </w:rPr>
        <w:t>各</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民非单位携带法人证书副本原件到市行政服务中心民政窗口加盖年检结论意见，年检程序结束。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cs="Times New Roman"/>
          <w:i w:val="0"/>
          <w:iCs w:val="0"/>
          <w:caps w:val="0"/>
          <w:color w:val="000000"/>
          <w:spacing w:val="0"/>
          <w:kern w:val="0"/>
          <w:sz w:val="32"/>
          <w:szCs w:val="32"/>
          <w:highlight w:val="none"/>
          <w:shd w:val="clear" w:color="auto" w:fill="FFFFFF"/>
          <w:lang w:val="en-US" w:eastAsia="zh-CN" w:bidi="ar"/>
        </w:rPr>
        <w:t>市民政局</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对申报的材料进行审核，材料不齐全、不真实的，退回补正，民非单位须及时修改完善并重新提交。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黑体" w:cs="Times New Roman"/>
          <w:i w:val="0"/>
          <w:caps w:val="0"/>
          <w:color w:val="auto"/>
          <w:spacing w:val="0"/>
          <w:kern w:val="0"/>
          <w:sz w:val="32"/>
          <w:szCs w:val="21"/>
          <w:shd w:val="clear" w:color="auto" w:fill="FFFFFF"/>
          <w:lang w:val="en-US" w:eastAsia="zh-CN" w:bidi="ar"/>
        </w:rPr>
      </w:pPr>
      <w:r>
        <w:rPr>
          <w:rFonts w:hint="default" w:ascii="Times New Roman" w:hAnsi="Times New Roman" w:eastAsia="黑体" w:cs="Times New Roman"/>
          <w:i w:val="0"/>
          <w:caps w:val="0"/>
          <w:color w:val="auto"/>
          <w:spacing w:val="0"/>
          <w:kern w:val="0"/>
          <w:sz w:val="32"/>
          <w:szCs w:val="21"/>
          <w:shd w:val="clear" w:color="auto" w:fill="FFFFFF"/>
          <w:lang w:val="en-US" w:eastAsia="zh-CN" w:bidi="ar"/>
        </w:rPr>
        <w:t>5月31日24时起，网上填报通道关闭，将不再接受年检材料提交。年检材料被退回补正的，于6月15日前补充完善并重新提交。如未按时补正提交或系统未提交成功，视为未参检。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年检结论公布后，各民非单位根据需要，可携带《民办非企业单位登记证书》（副本）原件，于202</w:t>
      </w:r>
      <w:r>
        <w:rPr>
          <w:rFonts w:hint="eastAsia" w:cs="Times New Roman"/>
          <w:i w:val="0"/>
          <w:caps w:val="0"/>
          <w:color w:val="auto"/>
          <w:spacing w:val="0"/>
          <w:kern w:val="0"/>
          <w:sz w:val="32"/>
          <w:szCs w:val="21"/>
          <w:shd w:val="clear" w:color="auto" w:fill="FFFFFF"/>
          <w:lang w:val="en-US" w:eastAsia="zh-CN" w:bidi="ar"/>
        </w:rPr>
        <w:t>5</w:t>
      </w:r>
      <w:bookmarkStart w:id="0" w:name="_GoBack"/>
      <w:bookmarkEnd w:id="0"/>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年12月31日前至市政务服务中心民政窗口（宿州市高新区埇上路566号四层西厅D214）加盖年检印鉴。无需向民政部门报送纸质年检材料。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19"/>
        </w:rPr>
      </w:pPr>
      <w:r>
        <w:rPr>
          <w:rStyle w:val="5"/>
          <w:rFonts w:hint="default" w:ascii="Times New Roman" w:hAnsi="Times New Roman" w:eastAsia="方正黑体_GBK" w:cs="Times New Roman"/>
          <w:b w:val="0"/>
          <w:bCs/>
          <w:i w:val="0"/>
          <w:caps w:val="0"/>
          <w:color w:val="auto"/>
          <w:spacing w:val="0"/>
          <w:kern w:val="0"/>
          <w:sz w:val="32"/>
          <w:szCs w:val="21"/>
          <w:shd w:val="clear" w:color="auto" w:fill="FFFFFF"/>
          <w:lang w:val="en-US" w:eastAsia="zh-CN" w:bidi="ar"/>
        </w:rPr>
        <w:t>四、年检结论说明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cs="Times New Roman"/>
          <w:i w:val="0"/>
          <w:caps w:val="0"/>
          <w:color w:val="auto"/>
          <w:spacing w:val="0"/>
          <w:kern w:val="0"/>
          <w:sz w:val="32"/>
          <w:szCs w:val="21"/>
          <w:shd w:val="clear" w:color="auto" w:fill="FFFFFF"/>
          <w:lang w:val="en-US" w:eastAsia="zh-CN" w:bidi="ar"/>
        </w:rPr>
        <w:t>市民政局</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依据《民办非企业单位登记管理暂行条例》《民办非企业单位年度检查办法》等法规政策，对民非单位报送的年检材料进行审核，并结合抽查审计、实地检查和其他问题线索核实情况，综合确定民非单位202</w:t>
      </w:r>
      <w:r>
        <w:rPr>
          <w:rFonts w:hint="default" w:ascii="Times New Roman" w:hAnsi="Times New Roman" w:cs="Times New Roman"/>
          <w:i w:val="0"/>
          <w:caps w:val="0"/>
          <w:color w:val="auto"/>
          <w:spacing w:val="0"/>
          <w:kern w:val="0"/>
          <w:sz w:val="32"/>
          <w:szCs w:val="21"/>
          <w:shd w:val="clear" w:color="auto" w:fill="FFFFFF"/>
          <w:lang w:val="en-US" w:eastAsia="zh-CN" w:bidi="ar"/>
        </w:rPr>
        <w:t>4</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年度的年检结论。</w:t>
      </w:r>
      <w:r>
        <w:rPr>
          <w:rFonts w:hint="default" w:ascii="Times New Roman" w:hAnsi="Times New Roman" w:eastAsia="方正仿宋_GBK" w:cs="Times New Roman"/>
          <w:i w:val="0"/>
          <w:caps w:val="0"/>
          <w:color w:val="auto"/>
          <w:spacing w:val="0"/>
          <w:kern w:val="0"/>
          <w:sz w:val="32"/>
          <w:szCs w:val="21"/>
          <w:shd w:val="clear" w:color="auto" w:fill="FFFFFF"/>
          <w:lang w:val="en" w:eastAsia="zh-CN" w:bidi="ar"/>
        </w:rPr>
        <w:t>民非单位</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在提交年检材料前，对存在的违规事项已经自查自纠、主动先行整改或经业务主管单位来函说明存在的问题确有特殊情况的，年检时可视情从轻或免予处理。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年检结论分为“合格”“基本合格”“不合格”。年检结论公布后，如发现存在影响当年年检结论情形的，年检结论将予以重新确定。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19"/>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（一）民非单位内部管理规范，严格按照章程进行内部治理和开展活动，未发现存在违反登记管理有关法规政策规定的行为，年度检查结论确定为“合格”。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（二）民非单位在202</w:t>
      </w:r>
      <w:r>
        <w:rPr>
          <w:rFonts w:hint="default" w:ascii="Times New Roman" w:hAnsi="Times New Roman" w:cs="Times New Roman"/>
          <w:i w:val="0"/>
          <w:caps w:val="0"/>
          <w:color w:val="auto"/>
          <w:spacing w:val="0"/>
          <w:kern w:val="0"/>
          <w:sz w:val="32"/>
          <w:szCs w:val="21"/>
          <w:shd w:val="clear" w:color="auto" w:fill="FFFFFF"/>
          <w:lang w:val="en-US" w:eastAsia="zh-CN" w:bidi="ar"/>
        </w:rPr>
        <w:t>4</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年度存在下列情形，情节较轻的，年检结论确定为“基本合格”；情节严重、影响恶劣的，年检结论确定为“不合格”：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1.应建未建党组织的；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2.未按要求将党的建设和社会主义核心价值观写入章程的；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3.不具备法律规定民办非企业单位法人基本条件的，包括没有与其业务活动相适应的从业人员、年末净资产为负数等情形；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4.未遵守非营利活动准则的；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5.违反规定使用登记证书、印章或者财务凭证的；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6.未开展业务活动的；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7.不按照章程规定进行活动的，包括超出章程规定的宗旨和业务范围开展活动、未按照章程规定召开理事会或未按期进行理事、监事换届等情形；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8.无固定住所或必要活动场所的；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9.内部管理混乱，不能正常开展活动的；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10.拒不接受或者不按照规定接受登记管理机关监督检查或年检的；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11.不按照规定办理变更登记，修改章程未按规定核准备案的；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12.设立分支机构的；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13.财务制度不健全，资金来源和使用违反有关规定的；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14.净资产低于国家有关行业主管部门规定的最低标准的；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15.侵占、私分、挪用民办非企业单位的资产或者所接受的捐赠、资助的；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16.违反国家有关规定收取费用、筹集资金或者接受使用捐赠、资助的；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17.年检中隐瞒真实情况，弄虚作假的；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18.未按时报送符合要求的年检材料，或者未按照登记管理机关要求对问题进行整改的；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19.负责人未经登记管理机关批准超龄、超届任职的，或者未按照规定办理负责人备案的；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20.其他违反国家法律法规政策规定和民办非企业单位章程行为的。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三）民非单位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确定为“不合格”，并依法给予行政处罚；构成犯罪的，依法追究刑事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Style w:val="5"/>
          <w:rFonts w:hint="default" w:ascii="Times New Roman" w:hAnsi="Times New Roman" w:eastAsia="方正黑体_GBK" w:cs="Times New Roman"/>
          <w:b w:val="0"/>
          <w:bCs/>
          <w:i w:val="0"/>
          <w:caps w:val="0"/>
          <w:color w:val="auto"/>
          <w:spacing w:val="0"/>
          <w:kern w:val="0"/>
          <w:sz w:val="32"/>
          <w:szCs w:val="21"/>
          <w:shd w:val="clear" w:color="auto" w:fill="FFFFFF"/>
          <w:lang w:val="en-US" w:eastAsia="zh-CN" w:bidi="ar"/>
        </w:rPr>
      </w:pPr>
      <w:r>
        <w:rPr>
          <w:rStyle w:val="5"/>
          <w:rFonts w:hint="eastAsia" w:eastAsia="方正黑体_GBK" w:cs="Times New Roman"/>
          <w:b w:val="0"/>
          <w:bCs/>
          <w:i w:val="0"/>
          <w:caps w:val="0"/>
          <w:color w:val="auto"/>
          <w:spacing w:val="0"/>
          <w:kern w:val="0"/>
          <w:sz w:val="32"/>
          <w:szCs w:val="21"/>
          <w:shd w:val="clear" w:color="auto" w:fill="FFFFFF"/>
          <w:lang w:val="en-US" w:eastAsia="zh-CN" w:bidi="ar"/>
        </w:rPr>
        <w:t>五</w:t>
      </w:r>
      <w:r>
        <w:rPr>
          <w:rStyle w:val="5"/>
          <w:rFonts w:hint="default" w:ascii="Times New Roman" w:hAnsi="Times New Roman" w:eastAsia="方正黑体_GBK" w:cs="Times New Roman"/>
          <w:b w:val="0"/>
          <w:bCs/>
          <w:i w:val="0"/>
          <w:caps w:val="0"/>
          <w:color w:val="auto"/>
          <w:spacing w:val="0"/>
          <w:kern w:val="0"/>
          <w:sz w:val="32"/>
          <w:szCs w:val="21"/>
          <w:shd w:val="clear" w:color="auto" w:fill="FFFFFF"/>
          <w:lang w:val="en-US" w:eastAsia="zh-CN" w:bidi="ar"/>
        </w:rPr>
        <w:t>、有关要求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（一）业务主管单位要切实履行初审职责。各业务主管单位要及时通知并督导所主管的</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民办非企业单位</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，按照规定要求和期限填报年检材料，对材料内容进行认真审查，作出初审结论。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（二）</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民非单位</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要按时全面准确填报。各</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民非单位</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要提高思想认识，把接受年检作为本年度一项重要工作来抓。要指定专人负责，确保所提交材料真实、准确、完整。要严格按时限要求报送业务主管单位初审，并完成网上填报工作。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未在5月31日前报送年检材料、未按要求填报及虚假填报的</w:t>
      </w: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民办非企业单位</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w:t>
      </w:r>
      <w:r>
        <w:rPr>
          <w:rFonts w:hint="default" w:ascii="Times New Roman" w:hAnsi="Times New Roman" w:cs="Times New Roman"/>
          <w:i w:val="0"/>
          <w:iCs w:val="0"/>
          <w:caps w:val="0"/>
          <w:color w:val="000000"/>
          <w:spacing w:val="0"/>
          <w:kern w:val="0"/>
          <w:sz w:val="32"/>
          <w:szCs w:val="32"/>
          <w:highlight w:val="none"/>
          <w:shd w:val="clear" w:color="auto" w:fill="FFFFFF"/>
          <w:lang w:val="en-US" w:eastAsia="zh-CN" w:bidi="ar"/>
        </w:rPr>
        <w:t>市民政局</w:t>
      </w: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将依法依规予以处理。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方正仿宋_GBK" w:cs="Times New Roman"/>
          <w:i w:val="0"/>
          <w:caps w:val="0"/>
          <w:color w:val="auto"/>
          <w:spacing w:val="0"/>
          <w:sz w:val="32"/>
          <w:szCs w:val="19"/>
        </w:rPr>
      </w:pPr>
      <w:r>
        <w:rPr>
          <w:rFonts w:hint="default" w:ascii="Times New Roman" w:hAnsi="Times New Roman" w:eastAsia="方正仿宋_GBK" w:cs="Times New Roman"/>
          <w:i w:val="0"/>
          <w:caps w:val="0"/>
          <w:color w:val="auto"/>
          <w:spacing w:val="0"/>
          <w:kern w:val="0"/>
          <w:sz w:val="32"/>
          <w:szCs w:val="21"/>
          <w:shd w:val="clear" w:color="auto" w:fill="FFFFFF"/>
          <w:lang w:val="en-US" w:eastAsia="zh-CN" w:bidi="ar"/>
        </w:rPr>
        <w:t>在接受年度检查过程中遇到问题，可通过以下方式咨询：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1.填报系统技术咨询：安徽晶奇网络科技股份有限公司0551—65350880、65350890、65350885根据提示音按4。</w:t>
      </w:r>
    </w:p>
    <w:p>
      <w:pPr>
        <w:keepNext w:val="0"/>
        <w:keepLines w:val="0"/>
        <w:pageBreakBefore w:val="0"/>
        <w:widowControl w:val="0"/>
        <w:shd w:val="clear"/>
        <w:kinsoku/>
        <w:wordWrap/>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pPr>
      <w:r>
        <w:rPr>
          <w:rFonts w:hint="default" w:ascii="Times New Roman" w:hAnsi="Times New Roman" w:eastAsia="方正仿宋_GBK" w:cs="Times New Roman"/>
          <w:i w:val="0"/>
          <w:iCs w:val="0"/>
          <w:caps w:val="0"/>
          <w:color w:val="000000"/>
          <w:spacing w:val="0"/>
          <w:kern w:val="0"/>
          <w:sz w:val="32"/>
          <w:szCs w:val="32"/>
          <w:highlight w:val="none"/>
          <w:shd w:val="clear" w:color="auto" w:fill="FFFFFF"/>
          <w:lang w:val="en-US" w:eastAsia="zh-CN" w:bidi="ar"/>
        </w:rPr>
        <w:t>2.年检材料报送、填报内容咨询：市政务服务中心民政窗口，0557—3045938。</w:t>
      </w:r>
    </w:p>
    <w:sectPr>
      <w:pgSz w:w="11906" w:h="16838"/>
      <w:pgMar w:top="1440" w:right="1587" w:bottom="1440"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C97C46"/>
    <w:rsid w:val="039141AB"/>
    <w:rsid w:val="12362428"/>
    <w:rsid w:val="14FA6EEB"/>
    <w:rsid w:val="35B729DB"/>
    <w:rsid w:val="3CA42054"/>
    <w:rsid w:val="62C97C46"/>
    <w:rsid w:val="69D8766E"/>
    <w:rsid w:val="6EDD3DA4"/>
    <w:rsid w:val="B79FA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topLinePunct/>
      <w:spacing w:line="240" w:lineRule="auto"/>
      <w:jc w:val="both"/>
    </w:pPr>
    <w:rPr>
      <w:rFonts w:ascii="Times New Roman" w:hAnsi="Times New Roman" w:eastAsia="方正仿宋_GBK" w:cs="Times New Roman"/>
      <w:spacing w:val="0"/>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widowControl/>
      <w:overflowPunct/>
      <w:topLinePunct w:val="0"/>
      <w:spacing w:after="160" w:line="259" w:lineRule="auto"/>
      <w:ind w:left="420"/>
      <w:jc w:val="left"/>
    </w:pPr>
    <w:rPr>
      <w:rFonts w:ascii="等线" w:hAnsi="等线" w:eastAsia="等线" w:cs="Times New Roman"/>
      <w:b/>
      <w:spacing w:val="0"/>
      <w:kern w:val="0"/>
      <w:sz w:val="30"/>
      <w:szCs w:val="30"/>
    </w:rPr>
  </w:style>
  <w:style w:type="character" w:styleId="5">
    <w:name w:val="Strong"/>
    <w:basedOn w:val="4"/>
    <w:qFormat/>
    <w:uiPriority w:val="0"/>
    <w:rPr>
      <w:rFonts w:ascii="Calibri" w:hAnsi="Calibri" w:eastAsia="等线"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2187</Words>
  <Characters>2324</Characters>
  <Lines>0</Lines>
  <Paragraphs>0</Paragraphs>
  <TotalTime>5</TotalTime>
  <ScaleCrop>false</ScaleCrop>
  <LinksUpToDate>false</LinksUpToDate>
  <CharactersWithSpaces>2324</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2025-02-28T18:39:00Z</dcterms:created>
  <dc:creator>七月</dc:creator>
  <cp:lastModifiedBy>greatwall</cp:lastModifiedBy>
  <dcterms:modified xsi:type="dcterms:W3CDTF">2025-03-06T16:02:19Z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164F065612E24DA18243F60725FC0508_11</vt:lpwstr>
  </property>
  <property fmtid="{D5CDD505-2E9C-101B-9397-08002B2CF9AE}" pid="4" name="KSOTemplateDocerSaveRecord">
    <vt:lpwstr>eyJoZGlkIjoiN2IzMGQ2MDIwMGZmMGY5NTg2OGQzNTQyZGJiZWMxMjAifQ==</vt:lpwstr>
  </property>
</Properties>
</file>