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E3F29" w14:textId="2439BDDE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3D5C0A3F" wp14:editId="29F4825C">
            <wp:extent cx="5274310" cy="7455535"/>
            <wp:effectExtent l="0" t="0" r="2540" b="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C38A" w14:textId="77777777" w:rsidR="004852DB" w:rsidRPr="004852DB" w:rsidRDefault="004852DB" w:rsidP="004852D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目  录 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前言引言1 范围2 规范性引用文件3 术语和定义4 评估指标与评分5 组织实施5. 1 评估环境5. 2 评估主体5. 3 评估流程6 评估结果6. 1 指标得分6. 2 老年人能力等级划分6. 3 评估结果报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lastRenderedPageBreak/>
        <w:t>告附录A （规范性）老年人能力评估基本信息表A. 1 评估信息表A. 2 评估对象基本信息表A. 3 信息提供者及联系人信息表A. 4 疾病诊断和用药情况A. 5 健康相关问题附录B （规范性）老年人能力评估B. 1 老年人能力评估表B. 2 基础运动能力评估表B. 3 精神状态评估表B. 4 感知觉与社会参与评估表B. 5 老年人能力总得分附录C （规范性）老年人能力评估报告参考文献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前   </w:t>
      </w:r>
      <w:proofErr w:type="gramStart"/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 言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本文件</w:t>
      </w:r>
      <w:proofErr w:type="gramEnd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按照GB/T1.1-2020《标准化工作导则第1部分：标准化文件的结构和起草规则》的规定起草。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  <w:t>请注意本文件的某些内容可能涉及专利。本文件的发布机构不承担识别专利的责任。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  <w:t>本文件由中华人民共和国民政部提出。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  <w:t>本文件由全国社会福利服务标准化技术委员会(SAC/TC315)归口。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  <w:t>本文件起草单位 : 中华人民共和国民政部、民政部社会福利中心、北京大学、南京市建</w:t>
      </w:r>
      <w:proofErr w:type="gramStart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邺</w:t>
      </w:r>
      <w:proofErr w:type="gramEnd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区社会福利院、四川省民政厅、成都市民政局、天津市养老院、天津市退休职工养老院、巴彦</w:t>
      </w:r>
      <w:proofErr w:type="gramStart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淖尔市</w:t>
      </w:r>
      <w:proofErr w:type="gramEnd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临河区康泰老人乐园、北京寸草关爱管理咨询有限公司。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  <w:t>本文件主要起草人：俞建良、李邦华、孙文灿、</w:t>
      </w:r>
      <w:proofErr w:type="gramStart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郭</w:t>
      </w:r>
      <w:proofErr w:type="gramEnd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 xml:space="preserve">彬彬、马雅欣、甄炳亮、谢红、雷洋、李星震、易 </w:t>
      </w:r>
      <w:proofErr w:type="gramStart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婕</w:t>
      </w:r>
      <w:proofErr w:type="gramEnd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、黄禹洲、邓祥莉、李长根、孙兆元 、尹莉、秦玺林、王习宇、王小龙、马晓雯、赵元萍、朱丹、杨茹侠、丁睿。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引    </w:t>
      </w:r>
      <w:proofErr w:type="gramStart"/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言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随着</w:t>
      </w:r>
      <w:proofErr w:type="gramEnd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我国人口老龄化程度日益加深，为了满足老年人养老服务的需求，在2013年民政行业标准MZ/T039-2013《老年人能力评估》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lastRenderedPageBreak/>
        <w:t>实施的基础上，结合国内外老年人能力评估工作的新进展，编制本文件。本文件为老年人能力评估提供统一、规范、可操作的工具，为科学划分老年人能力等级，推进基本养老服务体系建设，优化养老服务供给，规范养老服务机构运营，加强养老服务综合监管等提供依据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7"/>
          <w:szCs w:val="27"/>
        </w:rPr>
        <w:t>老年人能力评估规范</w:t>
      </w: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1 范围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本文件规定了老年人能力评估的指标与评分、组织实施及评估结果。本文件适用于开展老年人能力的评估。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2 规范性引用文件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本文件没有规范性引用文件。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3 术语和定义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下列术语和定义适用于本文件。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3. 1 能力 ability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个体顺利完成某一活动所必需的自身条件。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4  评估指标与评分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4. 1 按照表1的指标要求，一级指标共4个 ,包括自理能力、基础运动能力、精神状态、感知觉与社会参与；二级指标共26个，包括自理能力8个二级指标，基础运动能力4个二级指标，精神状态9个二级指标，感知觉与社会参与5个二级指标。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</w:p>
    <w:p w14:paraId="6F3F4F16" w14:textId="1E86D83E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0F01E815" wp14:editId="62CE4701">
                <wp:extent cx="304800" cy="304800"/>
                <wp:effectExtent l="0" t="0" r="0" b="0"/>
                <wp:docPr id="23" name="矩形 23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4970E7" id="矩形 23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p w14:paraId="6AC9E38B" w14:textId="77777777" w:rsidR="004852DB" w:rsidRPr="004852DB" w:rsidRDefault="004852DB" w:rsidP="004852D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4. 2 各项指标和评分按照表2~表5的规定 。</w:t>
      </w:r>
    </w:p>
    <w:p w14:paraId="5E2B42B5" w14:textId="438886B3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57313542" wp14:editId="2BE677A4">
                <wp:extent cx="304800" cy="304800"/>
                <wp:effectExtent l="0" t="0" r="0" b="0"/>
                <wp:docPr id="22" name="矩形 22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2B1F36" id="矩形 22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p w14:paraId="3CAAF34B" w14:textId="10BADF9C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15D517B2" wp14:editId="386B8ADC">
            <wp:extent cx="5274310" cy="7035800"/>
            <wp:effectExtent l="0" t="0" r="254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46069" w14:textId="3BDDD0A4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2AFABEAA" wp14:editId="1A3D471D">
            <wp:extent cx="5274310" cy="2357120"/>
            <wp:effectExtent l="0" t="0" r="2540" b="508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35FA8" w14:textId="034DA548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70713FAB" wp14:editId="3AD7C92D">
            <wp:extent cx="5274310" cy="4704715"/>
            <wp:effectExtent l="0" t="0" r="2540" b="635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97CC1" w14:textId="456D7150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43A48100" wp14:editId="59EF1E62">
            <wp:extent cx="5274310" cy="7562850"/>
            <wp:effectExtent l="0" t="0" r="254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3F851" w14:textId="7EA58ADC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18F5BCD6" wp14:editId="0B3801B1">
            <wp:extent cx="5274310" cy="4209415"/>
            <wp:effectExtent l="0" t="0" r="2540" b="635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A0D2D" w14:textId="7911899C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265A1D6F" wp14:editId="6BD8D934">
            <wp:extent cx="5274310" cy="2614295"/>
            <wp:effectExtent l="0" t="0" r="2540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3158" w14:textId="47FD6625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6A27EDEF" wp14:editId="0656B8D5">
            <wp:extent cx="5274310" cy="3763645"/>
            <wp:effectExtent l="0" t="0" r="2540" b="8255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9C712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5 组织实施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</w:p>
    <w:p w14:paraId="0CC6F008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5. 1 评估环境</w:t>
      </w:r>
    </w:p>
    <w:p w14:paraId="46F32B5D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5. 1. 1 评估环境应清洁、安静、光线充足、空气清新、温度适宜。</w:t>
      </w:r>
    </w:p>
    <w:p w14:paraId="79D35B0F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5. 1. 2 社区老年人集中评估时，应设立等候评估的空间，评估工作在相对独立的评估室内逐一进行。开展评估工作的机构</w:t>
      </w:r>
      <w:proofErr w:type="gramStart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宜设立</w:t>
      </w:r>
      <w:proofErr w:type="gramEnd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单独的评估室。</w:t>
      </w:r>
    </w:p>
    <w:p w14:paraId="3C594B35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5. 1. 3 评估室内物品满足评估需要，不应放置与评估无关的物品。评估室内或室外有连续的台阶和带有扶手的通道，可供评估使用。楼梯、台阶各级踏步应均匀一致、平整、防滑。</w:t>
      </w:r>
    </w:p>
    <w:p w14:paraId="48A6F45D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5. 2 评估主体</w:t>
      </w:r>
    </w:p>
    <w:p w14:paraId="47F971E5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lastRenderedPageBreak/>
        <w:t>5. 2. 1 开展评估工作的机构应为依法登记的企事业单位或社会组织。</w:t>
      </w:r>
    </w:p>
    <w:p w14:paraId="47933D6D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5. 2. 2 开展评估工作的机构应至少配置5名专/兼职评估人员。</w:t>
      </w:r>
    </w:p>
    <w:p w14:paraId="76A85343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5. 2. 3 评估人员应具有全日制高中或中专以上学历，有5年以上从事医疗护理、健康管理、养老服务、老年社会工作等实务经历并具有相关专业背景，理解评估指标内容，掌握评估要求。</w:t>
      </w:r>
    </w:p>
    <w:p w14:paraId="328F3B49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5. 2. 4 应保护被评估人员和评估人员的尊严、安全和个人隐私。</w:t>
      </w:r>
    </w:p>
    <w:p w14:paraId="3BE2226E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5. 3 评估流程</w:t>
      </w:r>
    </w:p>
    <w:p w14:paraId="6D4FB7AA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5. 3. 1 首次评估应由老年人本人或其代理人申请，受理申请后，由评估机构采取集中或入户等形式实施评估。</w:t>
      </w:r>
    </w:p>
    <w:p w14:paraId="2645EF91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5. 3. 2 每次评估应有2名评估人员同时在场，至少一人具有医护专业背景。评估时 , 老年人身体发生不适，或者精神出现问题，应终止评估。</w:t>
      </w:r>
    </w:p>
    <w:p w14:paraId="64045C6C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5. 3. 3 评估人员应通过询问老年人本人及照顾者，或者查询相关信息，填写附录A中表 A. 1~表 A. 5 的内容，并签字。</w:t>
      </w:r>
    </w:p>
    <w:p w14:paraId="165A97C5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5. 3. 4 评估人员按照表2~表5进行逐项评估，填写附录B中表B. 1~表B. 5每个项目得分，确定一级指标得分和老年人能力评估总得分。</w:t>
      </w:r>
    </w:p>
    <w:p w14:paraId="2C7D0FB3" w14:textId="7777777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5. 3. 5 评估人员根据4个一级指标的得分，依据表6确定老年人能力等级 ,并填写附录C的老年人能力评估报告，经2名评估人员确认并签字，同时</w:t>
      </w:r>
      <w:proofErr w:type="gramStart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请信息</w:t>
      </w:r>
      <w:proofErr w:type="gramEnd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提供者签字。</w:t>
      </w:r>
    </w:p>
    <w:p w14:paraId="54D0032B" w14:textId="0E5A824B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18DFD606" wp14:editId="46498AB1">
            <wp:extent cx="5274310" cy="2597785"/>
            <wp:effectExtent l="0" t="0" r="254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66ADA" w14:textId="77777777" w:rsidR="004852DB" w:rsidRPr="004852DB" w:rsidRDefault="004852DB" w:rsidP="004852D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5. 3. 6  形成老年人能力评估报告后，评估结果应告知申请人。老年人能力评估应为动态评估，在首次评估后，若无特殊变化，至少每12个月评估一次，程序与首次评估相同；出现特殊情况导致能力发生变化时，</w:t>
      </w:r>
      <w:proofErr w:type="gramStart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宜申请</w:t>
      </w:r>
      <w:proofErr w:type="gramEnd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即时评估。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6 评估结果6. 1 指标得分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6. 1. 1 自理能力包括8个二级指标的评定，将其得分相加得到分量表总分，应填写表B.1。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  <w:t>6. 1. 2 基础运动能力包括4个二级指标的评定，将其得分相加得到分量表总分，应填写表B.2。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  <w:t>6. 1. 3 精神状态包括9个二级指标的评定，将其得分相加得到分量表总分，应填写表B.3。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  <w:t>6. 1. 4 感知觉与社会参与包括5个二级指标的评定，将其得分相加得到分量表总分，应填写表B.4。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  <w:t>6. 1. 5 将上述4个分量表得分相加得到老年人能力评估的总得分，应填写表B.5。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lastRenderedPageBreak/>
        <w:t>6. 2 老年人能力等级划分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综合自理能力、基础运动能力、精神状态、感知觉与社会参与4个一级指标的总分，进行能力分级。能力</w:t>
      </w:r>
      <w:proofErr w:type="gramStart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分级应</w:t>
      </w:r>
      <w:proofErr w:type="gramEnd"/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符合表6的要求。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4852DB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6. 3 评估结果报告</w:t>
      </w: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评估人员应根据评估情况填写附录C，并签字，形成老年人能力评估报告。</w:t>
      </w:r>
    </w:p>
    <w:p w14:paraId="360E0C0E" w14:textId="6555ED3A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5E2262BE" wp14:editId="7944F41D">
            <wp:extent cx="5274310" cy="7331710"/>
            <wp:effectExtent l="0" t="0" r="2540" b="254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14D47" w14:textId="329C5FFE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68330690" wp14:editId="15993BEB">
            <wp:extent cx="5274310" cy="7455535"/>
            <wp:effectExtent l="0" t="0" r="254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E6E9D" w14:textId="69EC095D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088F9F9A" wp14:editId="67B37067">
            <wp:extent cx="5274310" cy="7510780"/>
            <wp:effectExtent l="0" t="0" r="254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645C" w14:textId="64C5FEE2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08EA8FE5" wp14:editId="4A6D78F4">
                <wp:extent cx="304800" cy="304800"/>
                <wp:effectExtent l="0" t="0" r="0" b="0"/>
                <wp:docPr id="10" name="矩形 10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C72693" id="矩形 10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p w14:paraId="605509D7" w14:textId="12088E9F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299EF978" wp14:editId="0265AF73">
            <wp:extent cx="5274310" cy="7155815"/>
            <wp:effectExtent l="0" t="0" r="2540" b="698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77704" w14:textId="7DDE380E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52D529B0" wp14:editId="2BB946CF">
            <wp:extent cx="5274310" cy="7159625"/>
            <wp:effectExtent l="0" t="0" r="2540" b="3175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D9C3C" w14:textId="00BDF9D8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56AD2E83" wp14:editId="34FD9EB3">
            <wp:extent cx="5274310" cy="7501255"/>
            <wp:effectExtent l="0" t="0" r="2540" b="444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F8416" w14:textId="636C5736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4CDE2ECE" wp14:editId="042D92FB">
            <wp:extent cx="5274310" cy="7061835"/>
            <wp:effectExtent l="0" t="0" r="2540" b="571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151D" w14:textId="7A147FCD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02B67F2A" wp14:editId="06EAD5B0">
            <wp:extent cx="5274310" cy="6869430"/>
            <wp:effectExtent l="0" t="0" r="2540" b="762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BA33" w14:textId="6E16C2C7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2E391812" wp14:editId="5790EE67">
            <wp:extent cx="5274310" cy="4063365"/>
            <wp:effectExtent l="0" t="0" r="254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06FF" w14:textId="2AC5E55C" w:rsidR="004852DB" w:rsidRPr="004852DB" w:rsidRDefault="004852DB" w:rsidP="004852DB">
      <w:pPr>
        <w:widowControl/>
        <w:shd w:val="clear" w:color="auto" w:fill="FFFFFF"/>
        <w:spacing w:line="420" w:lineRule="atLeast"/>
        <w:ind w:left="240" w:right="240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5F5D2BA7" wp14:editId="2A62C901">
            <wp:extent cx="5274310" cy="4925695"/>
            <wp:effectExtent l="0" t="0" r="2540" b="825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A67FD" w14:textId="77777777" w:rsidR="004852DB" w:rsidRPr="004852DB" w:rsidRDefault="004852DB" w:rsidP="004852DB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4852DB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来源：民政部</w:t>
      </w:r>
    </w:p>
    <w:p w14:paraId="633F52C4" w14:textId="51F77D33" w:rsidR="009B39C1" w:rsidRPr="004852DB" w:rsidRDefault="009B39C1" w:rsidP="004852DB"/>
    <w:sectPr w:rsidR="009B39C1" w:rsidRPr="004852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342"/>
    <w:rsid w:val="004852DB"/>
    <w:rsid w:val="00866342"/>
    <w:rsid w:val="009B39C1"/>
    <w:rsid w:val="00AC7D65"/>
    <w:rsid w:val="00B329A3"/>
    <w:rsid w:val="00F6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32610"/>
  <w15:chartTrackingRefBased/>
  <w15:docId w15:val="{3B1F62A8-9D9F-4693-A53D-9597633A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342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86634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6634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866342"/>
  </w:style>
  <w:style w:type="character" w:styleId="a3">
    <w:name w:val="Hyperlink"/>
    <w:basedOn w:val="a0"/>
    <w:uiPriority w:val="99"/>
    <w:semiHidden/>
    <w:unhideWhenUsed/>
    <w:rsid w:val="00866342"/>
    <w:rPr>
      <w:color w:val="0000FF"/>
      <w:u w:val="single"/>
    </w:rPr>
  </w:style>
  <w:style w:type="character" w:styleId="a4">
    <w:name w:val="Emphasis"/>
    <w:basedOn w:val="a0"/>
    <w:uiPriority w:val="20"/>
    <w:qFormat/>
    <w:rsid w:val="00866342"/>
    <w:rPr>
      <w:i/>
      <w:iCs/>
    </w:rPr>
  </w:style>
  <w:style w:type="paragraph" w:styleId="a5">
    <w:name w:val="Normal (Web)"/>
    <w:basedOn w:val="a"/>
    <w:uiPriority w:val="99"/>
    <w:semiHidden/>
    <w:unhideWhenUsed/>
    <w:rsid w:val="008663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66342"/>
    <w:rPr>
      <w:b/>
      <w:bCs/>
    </w:rPr>
  </w:style>
  <w:style w:type="character" w:customStyle="1" w:styleId="ariahiddenabs">
    <w:name w:val="aria_hidden_abs"/>
    <w:basedOn w:val="a0"/>
    <w:rsid w:val="00866342"/>
  </w:style>
  <w:style w:type="character" w:customStyle="1" w:styleId="videolength">
    <w:name w:val="video_length"/>
    <w:basedOn w:val="a0"/>
    <w:rsid w:val="00866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423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920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2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1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7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772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8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8807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929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924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075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643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2650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26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6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456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145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363</Words>
  <Characters>2071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lila</dc:creator>
  <cp:keywords/>
  <dc:description/>
  <cp:lastModifiedBy>z lila</cp:lastModifiedBy>
  <cp:revision>2</cp:revision>
  <dcterms:created xsi:type="dcterms:W3CDTF">2023-02-02T12:44:00Z</dcterms:created>
  <dcterms:modified xsi:type="dcterms:W3CDTF">2023-02-02T12:44:00Z</dcterms:modified>
</cp:coreProperties>
</file>