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7"/>
        <w:gridCol w:w="1057"/>
        <w:gridCol w:w="8090"/>
        <w:gridCol w:w="580"/>
        <w:gridCol w:w="580"/>
        <w:gridCol w:w="580"/>
        <w:gridCol w:w="2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1" w:name="_GoBack"/>
            <w:bookmarkEnd w:id="1"/>
            <w:bookmarkStart w:id="0" w:name="RANGE!A1:H102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36"/>
              </w:rPr>
              <w:t>宿州市专业性社会团体评估指标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指    标    分    类    和    标    准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标准分值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自评计分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评估机构评定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评定方法与说明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大类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中类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小类</w:t>
            </w: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评  估  标  准</w:t>
            </w: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一、基础条件（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法人资格（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活动资金  （10分）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净资产不低于登记的注册资金数的得10分；低于注册资金50%以上的得5分；低于注册资金50%以下的不得分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实地查看资产负债表上年末净资产数额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法定代表人按章程规定产生的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实地查看产生法定代表人的会议纪要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未兼任其他社会团体的法定代表人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    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社会团体名称符合法律、法规的规定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在醒目处悬挂协会名称牌匾的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办公条件 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有不小于20平方米独立办公用房得10分；小于20平方米得5分；无独立办公用房不得分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具备相应的办公条件，配备办公设施设备的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章程    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制定程序（10分）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章程制定或修改经会员（代表）大会表决通过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实地查看通过章程大会的会议纪要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章程核准（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在规定期限内报登记管理机关核准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报送章程及章程核准表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变更和    备案程序（20分）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变更登记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名称、业务范围、住所、注册资金、法定代表人、业务主管单位等变更，按规定办理变更登记手续。（有1项未办理变更扣3分，扣完为止；未发生变更事项得满分）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实地查看登记证书及变更登记资料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备案登记（10分）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负责人、印章、银行帐户、会费标准等按规定办理备案手续。（有1项没备案扣3分，扣完为止）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实地查看备案资料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遵纪守法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年度检查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按时参加年检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实地查看年检报告书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年检合格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重大活动 报告（10分）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开展重大活动及时向登记管理机关报告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实地查看相关文件、会议纪要，有一项未报告扣2分，扣完为止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二、内部治理（4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发展规划（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发展规划（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制定中长期发展规划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制定年度工作计划和总结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重大活动制定详细方案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组织机构（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会员（代表）大会（20分）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按章程规定的时限、条件和程序召开，切实履行职责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理事（常务理事）会（30分）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理事（常务理事）会按规定的条件和程序产生、罢免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按期换届，召开会议次数符合章程规定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按照规定履行职责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办事机构（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设有稳定的内设机构（如秘书处、办公室等）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设置合理、职责明确、运转协调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分支（代表）机构（20分）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根据业务发展需要，明确设立标准，合理设置结构，有效开展工作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实地查看相关证明材料及登记证书，没有设立的不扣分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按规定办理登记事项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党建活动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(10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党组织建设情况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党组织活动情况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党建工作制度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制定情况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人力资源管理（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岗位管理 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秘书长为专职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实地查看员工名册和劳动合同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除秘书长外，配备专职工作人员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工作人员定期参加业务培训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有明确的考核和任用制度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二、内部治理（4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分)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工资管理 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落实工作人员薪酬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实地查看近两年工资表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落实工作人员社会保险政策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实地查看社保缴费凭证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领导班子 建设（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按章程规定的程序选举产生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年龄符合章程规定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实地查看相登记表格及身份证明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人员结构 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工作人员大专以上（含大专）学历者占50%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实地查看员工名册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财务管理（1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财务人员配备（20分)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配备具有从业资格证书的会计人员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报送会计资格证书复印件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财务人员定期参加财务培训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报送相关资料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执行民间非营会计组织制度（20分）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执行《民间非营利组织会计制度》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实地查看会计帐簿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财务独立核算，帐目清楚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财务管理（40分）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经费来源和使用符合规定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实地查看相关会计凭证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财务各项支出审批符合规定的程序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制定财务管理制度并有效执行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报送制度实地查看资料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有独立的银行帐号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查看开户许可证复印件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资产登记造册，内容清楚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实地查看固定资料清册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会费管理（20分）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会费标准由会员（代表）大会制定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实地查看通过会费标准的会议纪要及会费票据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会费专用收据使用符合规定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二、内部治理（4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财务管理（140分）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税务及票据管理（20分）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依法进行税务登记，按期进行纳税申报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报送税务登记证复印件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各种票据使用、管理规范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实地查看各种票据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财务监督（20分）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依法进行法定代表人离任或换届审计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实地查看专项审计报告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年度财务报告向会员（代表）大会或理事会报告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档案、证章管理（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档案管理（10分）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有专人管理文档资料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文档资料保管规范、齐全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证书管理（10分）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登记证书、组织代码证书等均在有效期内，且保存完好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实地查看各类证书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办公场所悬挂登记证书正本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印章管理（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有效执行印章保管和使用制度，印章有专人保管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会员管理（10分）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会员身份符合有关规定，具有广泛的代表性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报送会员名册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有规范的会员管理制度，且执行良好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报送相关制度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三、工作绩效（3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提供服务（2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服务会员（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开展经济技术合作交流、研讨会等活动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开展提高会员个体功能的服务活动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组织会员开展考察、调研活动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组织各类专业培训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通过相关媒介为会员提供专业信息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定期出版刊物或会员通讯等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建有相关的网站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三、工作绩效（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提供服务（2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服务政府（45分）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向政府提出政策建议，并被采纳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完成政府、企事业单位及其他社会机构委托的各项任务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协助政府推进劳资和谐，促进生产安全，加强劳动保护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服务社会（60分）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开展慈善、救助、环保等公益活动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倡导会员履行社会责任，利用专业技术优势服务社会公众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在推进相关领域发展过程中发挥积极作用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在国家重大突发公共事件中发挥积极作用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反映诉求（30分）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维护权益（30分）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向政府部门反映涉及会员和相关领域的事项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帮助会员解决实际困难，维护会员合法权益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规范行为（45分）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自律活动（45分）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制定会员服务标准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制定、开展自律性管理活动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按规定开展评比、达标、表彰活动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活动情况（50分）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活动开支（10分）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社团活动开支占每年社团经费收入的比例超过50%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实地查看相关证明材料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会员参与活动情况（10分）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每年参加至少一次以上社团活动的会员比例超过70%得10分，超过50-70%得5分，低于50%不得分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外部活动（10分）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加强与国内外非政府组织的合作交流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会费收缴（10分）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会费收缴率超过75%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会员增长 情况（10分）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会员数年增长超5%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四、社会评价（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内部评价（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会员评价（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会员对社团服务性、非营利性、诚信度、创新性、凝聚力和发挥作用的评价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评估小组抽取部分会员下发评价调查表，评价结果总体好得10分，较好得8分，一般得5分，差的不得分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会员对社团民主管理的评价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会员对社团领导班子的评价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理事评价（20分）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理事对社团民主管理、服务性、非营利性、诚信度、创新性、凝聚力和发挥作用的评价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评估小组抽取部分理事下发评价调查表，评价结果总体好得20分，较好得15分，一般得10分，差的不得分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工作人员 评价（20分）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对社团领导班子的评价、对社团工作环境和福利待遇的评价、对社团理念的认同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评估小组下发评价调查表，评价结果总体好得20分，较好得15分，一般得10分，差的不得分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外部评价（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登记管理机关评价（20分）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对社团规范性、诚信度、凝聚力、发挥作有的评价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由登记管理机关评分，评价结果总体好的得20分，较好得15分，一般得10分，差的不得分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业务主管单位评价（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对社团规范性、诚信度、凝聚力、发挥作有的评价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由业务主管单位评分，评价结果总体好的好20分，较好得15分，一般得10分，差的不得分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新闻媒体 评价（10分）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有关社团褒奖、批评的报道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查阅相关证明材料，有褒奖的得10分，有批评的扣5分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公众评价（10分）</w:t>
            </w:r>
          </w:p>
        </w:tc>
        <w:tc>
          <w:tcPr>
            <w:tcW w:w="8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无被公众投诉、举报情况，证据确凿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由登记管理机关和业务主管单位提供证明材料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        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专家评审组成员签字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年    月 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评估委员会评定等级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年    月    日       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2204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E"/>
    <w:rsid w:val="00116C60"/>
    <w:rsid w:val="003D5DBB"/>
    <w:rsid w:val="003F2F32"/>
    <w:rsid w:val="00BC1D29"/>
    <w:rsid w:val="00E54CFE"/>
    <w:rsid w:val="00F7696B"/>
    <w:rsid w:val="57E94349"/>
    <w:rsid w:val="757126D0"/>
    <w:rsid w:val="F76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689</Words>
  <Characters>3933</Characters>
  <Lines>32</Lines>
  <Paragraphs>9</Paragraphs>
  <TotalTime>7</TotalTime>
  <ScaleCrop>false</ScaleCrop>
  <LinksUpToDate>false</LinksUpToDate>
  <CharactersWithSpaces>4613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2019-09-29T23:05:00Z</dcterms:created>
  <dc:creator>lenovo</dc:creator>
  <cp:lastModifiedBy>崔爱民</cp:lastModifiedBy>
  <dcterms:modified xsi:type="dcterms:W3CDTF">2021-09-18T08:54:58Z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